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A3" w:rsidRPr="00CC385E" w:rsidRDefault="00B96B7F" w:rsidP="00B96B7F">
      <w:pPr>
        <w:jc w:val="center"/>
        <w:rPr>
          <w:rFonts w:cstheme="minorHAnsi"/>
          <w:b/>
          <w:u w:val="single"/>
          <w:lang w:val="en-US"/>
        </w:rPr>
      </w:pPr>
      <w:r w:rsidRPr="00CC385E">
        <w:rPr>
          <w:rFonts w:cstheme="minorHAnsi"/>
          <w:b/>
          <w:u w:val="single"/>
          <w:lang w:val="en-US"/>
        </w:rPr>
        <w:t>Primary PE and Sports Premium</w:t>
      </w:r>
      <w:r w:rsidR="006353C8" w:rsidRPr="00CC385E">
        <w:rPr>
          <w:rFonts w:cstheme="minorHAnsi"/>
          <w:b/>
          <w:u w:val="single"/>
          <w:lang w:val="en-US"/>
        </w:rPr>
        <w:t xml:space="preserve"> Thornton Primary School</w:t>
      </w:r>
      <w:r w:rsidR="00C24061">
        <w:rPr>
          <w:rFonts w:cstheme="minorHAnsi"/>
          <w:b/>
          <w:u w:val="single"/>
          <w:lang w:val="en-US"/>
        </w:rPr>
        <w:t xml:space="preserve"> </w:t>
      </w:r>
      <w:r w:rsidRPr="00CC385E">
        <w:rPr>
          <w:rFonts w:cstheme="minorHAnsi"/>
          <w:b/>
          <w:u w:val="single"/>
          <w:lang w:val="en-US"/>
        </w:rPr>
        <w:t xml:space="preserve">2018-2019 </w:t>
      </w:r>
    </w:p>
    <w:p w:rsidR="00B96B7F" w:rsidRPr="00CC385E" w:rsidRDefault="00ED6DEF" w:rsidP="00ED6DEF">
      <w:pPr>
        <w:jc w:val="center"/>
        <w:rPr>
          <w:rFonts w:cstheme="minorHAnsi"/>
          <w:b/>
          <w:u w:val="single"/>
          <w:lang w:val="en-US"/>
        </w:rPr>
      </w:pPr>
      <w:r w:rsidRPr="00CC385E">
        <w:rPr>
          <w:rFonts w:cstheme="minorHAnsi"/>
          <w:b/>
          <w:color w:val="231F20"/>
          <w:u w:val="single"/>
        </w:rPr>
        <w:t>Meeting national curriculum requirements for swimming and water safety</w:t>
      </w:r>
    </w:p>
    <w:tbl>
      <w:tblPr>
        <w:tblStyle w:val="TableGrid"/>
        <w:tblW w:w="15405" w:type="dxa"/>
        <w:tblLook w:val="04A0" w:firstRow="1" w:lastRow="0" w:firstColumn="1" w:lastColumn="0" w:noHBand="0" w:noVBand="1"/>
      </w:tblPr>
      <w:tblGrid>
        <w:gridCol w:w="3256"/>
        <w:gridCol w:w="3915"/>
        <w:gridCol w:w="1471"/>
        <w:gridCol w:w="1675"/>
        <w:gridCol w:w="2011"/>
        <w:gridCol w:w="2976"/>
        <w:gridCol w:w="101"/>
      </w:tblGrid>
      <w:tr w:rsidR="00ED6DEF" w:rsidRPr="00CC385E" w:rsidTr="00DB517D">
        <w:tc>
          <w:tcPr>
            <w:tcW w:w="7171" w:type="dxa"/>
            <w:gridSpan w:val="2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</w:p>
        </w:tc>
        <w:tc>
          <w:tcPr>
            <w:tcW w:w="8234" w:type="dxa"/>
            <w:gridSpan w:val="5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Percentage of children </w:t>
            </w:r>
          </w:p>
        </w:tc>
      </w:tr>
      <w:tr w:rsidR="00ED6DEF" w:rsidRPr="00CC385E" w:rsidTr="00DB517D">
        <w:tc>
          <w:tcPr>
            <w:tcW w:w="7171" w:type="dxa"/>
            <w:gridSpan w:val="2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color w:val="231F20"/>
              </w:rPr>
              <w:t xml:space="preserve">What percentage of your </w:t>
            </w:r>
            <w:r w:rsidRPr="00CC385E">
              <w:rPr>
                <w:rFonts w:cstheme="minorHAnsi"/>
                <w:color w:val="231F20"/>
                <w:spacing w:val="-5"/>
              </w:rPr>
              <w:t>current Year 6 cohort</w:t>
            </w:r>
            <w:r w:rsidRPr="00CC385E">
              <w:rPr>
                <w:rFonts w:cstheme="minorHAnsi"/>
                <w:color w:val="231F20"/>
              </w:rPr>
              <w:t xml:space="preserve"> swim </w:t>
            </w:r>
            <w:r w:rsidRPr="00CC385E">
              <w:rPr>
                <w:rFonts w:cstheme="minorHAnsi"/>
                <w:color w:val="231F20"/>
                <w:spacing w:val="-3"/>
              </w:rPr>
              <w:t xml:space="preserve">competently, </w:t>
            </w:r>
            <w:r w:rsidRPr="00CC385E">
              <w:rPr>
                <w:rFonts w:cstheme="minorHAnsi"/>
                <w:color w:val="231F20"/>
              </w:rPr>
              <w:t>confidently and proficiently over a distance of at least 25 meters?</w:t>
            </w:r>
          </w:p>
        </w:tc>
        <w:tc>
          <w:tcPr>
            <w:tcW w:w="8234" w:type="dxa"/>
            <w:gridSpan w:val="5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color w:val="231F20"/>
              </w:rPr>
              <w:t>82%</w:t>
            </w:r>
          </w:p>
        </w:tc>
      </w:tr>
      <w:tr w:rsidR="00ED6DEF" w:rsidRPr="00CC385E" w:rsidTr="00DB517D">
        <w:tc>
          <w:tcPr>
            <w:tcW w:w="7171" w:type="dxa"/>
            <w:gridSpan w:val="2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color w:val="231F20"/>
              </w:rPr>
              <w:t xml:space="preserve">What percentage of your </w:t>
            </w:r>
            <w:r w:rsidRPr="00CC385E">
              <w:rPr>
                <w:rFonts w:cstheme="minorHAnsi"/>
                <w:color w:val="231F20"/>
                <w:spacing w:val="-5"/>
              </w:rPr>
              <w:t>current Year 6 cohort</w:t>
            </w:r>
            <w:r w:rsidRPr="00CC385E">
              <w:rPr>
                <w:rFonts w:cstheme="minorHAnsi"/>
                <w:color w:val="231F20"/>
              </w:rPr>
              <w:t xml:space="preserve"> use a range of </w:t>
            </w:r>
            <w:r w:rsidRPr="00CC385E">
              <w:rPr>
                <w:rFonts w:cstheme="minorHAnsi"/>
                <w:color w:val="231F20"/>
                <w:spacing w:val="-3"/>
              </w:rPr>
              <w:t xml:space="preserve">strokes </w:t>
            </w:r>
            <w:r w:rsidRPr="00CC385E">
              <w:rPr>
                <w:rFonts w:cstheme="minorHAnsi"/>
                <w:color w:val="231F20"/>
              </w:rPr>
              <w:t xml:space="preserve">effectively [for example, front crawl, </w:t>
            </w:r>
            <w:r w:rsidRPr="00CC385E">
              <w:rPr>
                <w:rFonts w:cstheme="minorHAnsi"/>
                <w:color w:val="231F20"/>
                <w:spacing w:val="-3"/>
              </w:rPr>
              <w:t xml:space="preserve">backstroke </w:t>
            </w:r>
            <w:r w:rsidRPr="00CC385E">
              <w:rPr>
                <w:rFonts w:cstheme="minorHAnsi"/>
                <w:color w:val="231F20"/>
              </w:rPr>
              <w:t>and breaststroke]?</w:t>
            </w:r>
          </w:p>
        </w:tc>
        <w:tc>
          <w:tcPr>
            <w:tcW w:w="8234" w:type="dxa"/>
            <w:gridSpan w:val="5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color w:val="231F20"/>
              </w:rPr>
              <w:t>71%</w:t>
            </w:r>
          </w:p>
        </w:tc>
      </w:tr>
      <w:tr w:rsidR="00ED6DEF" w:rsidRPr="00CC385E" w:rsidTr="00DB517D">
        <w:tc>
          <w:tcPr>
            <w:tcW w:w="7171" w:type="dxa"/>
            <w:gridSpan w:val="2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color w:val="231F20"/>
              </w:rPr>
              <w:t xml:space="preserve">What percentage of your </w:t>
            </w:r>
            <w:r w:rsidRPr="00CC385E">
              <w:rPr>
                <w:rFonts w:cstheme="minorHAnsi"/>
                <w:color w:val="231F20"/>
                <w:spacing w:val="-5"/>
              </w:rPr>
              <w:t>current Year 6 cohort</w:t>
            </w:r>
            <w:r w:rsidRPr="00CC385E">
              <w:rPr>
                <w:rFonts w:cstheme="minorHAnsi"/>
                <w:color w:val="231F20"/>
              </w:rPr>
              <w:t xml:space="preserve"> perform </w:t>
            </w:r>
            <w:r w:rsidRPr="00CC385E">
              <w:rPr>
                <w:rFonts w:cstheme="minorHAnsi"/>
                <w:color w:val="231F20"/>
                <w:spacing w:val="-3"/>
              </w:rPr>
              <w:t xml:space="preserve">safe </w:t>
            </w:r>
            <w:r w:rsidRPr="00CC385E">
              <w:rPr>
                <w:rFonts w:cstheme="minorHAnsi"/>
                <w:color w:val="231F20"/>
              </w:rPr>
              <w:t>self-rescue in different water-based situations?</w:t>
            </w:r>
          </w:p>
        </w:tc>
        <w:tc>
          <w:tcPr>
            <w:tcW w:w="8234" w:type="dxa"/>
            <w:gridSpan w:val="5"/>
          </w:tcPr>
          <w:p w:rsidR="00ED6DEF" w:rsidRPr="00CC385E" w:rsidRDefault="00ED6DEF" w:rsidP="00B96B7F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color w:val="231F20"/>
              </w:rPr>
              <w:t>98%</w:t>
            </w:r>
          </w:p>
        </w:tc>
      </w:tr>
      <w:tr w:rsidR="00ED6DEF" w:rsidRPr="00CC385E" w:rsidTr="00DB517D">
        <w:tc>
          <w:tcPr>
            <w:tcW w:w="7171" w:type="dxa"/>
            <w:gridSpan w:val="2"/>
          </w:tcPr>
          <w:p w:rsidR="00ED6DEF" w:rsidRPr="00CC385E" w:rsidRDefault="00ED6DEF" w:rsidP="00B96B7F">
            <w:pPr>
              <w:rPr>
                <w:rFonts w:cstheme="minorHAnsi"/>
                <w:color w:val="231F20"/>
              </w:rPr>
            </w:pPr>
            <w:r w:rsidRPr="00CC385E">
              <w:rPr>
                <w:rFonts w:cstheme="minorHAnsi"/>
                <w:color w:val="231F20"/>
              </w:rPr>
              <w:t>Schools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can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choose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to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use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the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Primary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PE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and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Sport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Premium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to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provide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additional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>provision</w:t>
            </w:r>
            <w:r w:rsidRPr="00CC385E">
              <w:rPr>
                <w:rFonts w:cstheme="minorHAnsi"/>
                <w:color w:val="231F20"/>
                <w:spacing w:val="-4"/>
              </w:rPr>
              <w:t xml:space="preserve"> </w:t>
            </w:r>
            <w:r w:rsidRPr="00CC385E">
              <w:rPr>
                <w:rFonts w:cstheme="minorHAnsi"/>
                <w:color w:val="231F20"/>
                <w:spacing w:val="-3"/>
              </w:rPr>
              <w:t>for</w:t>
            </w:r>
            <w:r w:rsidRPr="00CC385E">
              <w:rPr>
                <w:rFonts w:cstheme="minorHAnsi"/>
                <w:color w:val="231F20"/>
                <w:spacing w:val="-5"/>
              </w:rPr>
              <w:t xml:space="preserve"> </w:t>
            </w:r>
            <w:r w:rsidRPr="00CC385E">
              <w:rPr>
                <w:rFonts w:cstheme="minorHAnsi"/>
                <w:color w:val="231F20"/>
              </w:rPr>
              <w:t xml:space="preserve">swimming but this must be </w:t>
            </w:r>
            <w:r w:rsidRPr="00CC385E">
              <w:rPr>
                <w:rFonts w:cstheme="minorHAnsi"/>
                <w:color w:val="231F20"/>
                <w:spacing w:val="-3"/>
              </w:rPr>
              <w:t xml:space="preserve">for </w:t>
            </w:r>
            <w:r w:rsidRPr="00CC385E">
              <w:rPr>
                <w:rFonts w:cstheme="minorHAnsi"/>
                <w:color w:val="231F20"/>
              </w:rPr>
              <w:t xml:space="preserve">activity </w:t>
            </w:r>
            <w:r w:rsidRPr="00CC385E">
              <w:rPr>
                <w:rFonts w:cstheme="minorHAnsi"/>
                <w:b/>
                <w:color w:val="231F20"/>
              </w:rPr>
              <w:t xml:space="preserve">over and above </w:t>
            </w:r>
            <w:r w:rsidRPr="00CC385E">
              <w:rPr>
                <w:rFonts w:cstheme="minorHAnsi"/>
                <w:color w:val="231F20"/>
              </w:rPr>
              <w:t xml:space="preserve">the national curriculum requirements. </w:t>
            </w:r>
            <w:r w:rsidRPr="00CC385E">
              <w:rPr>
                <w:rFonts w:cstheme="minorHAnsi"/>
                <w:color w:val="231F20"/>
                <w:spacing w:val="-3"/>
              </w:rPr>
              <w:t xml:space="preserve">Have </w:t>
            </w:r>
            <w:r w:rsidRPr="00CC385E">
              <w:rPr>
                <w:rFonts w:cstheme="minorHAnsi"/>
                <w:color w:val="231F20"/>
              </w:rPr>
              <w:t xml:space="preserve">you used it in this </w:t>
            </w:r>
            <w:r w:rsidRPr="00CC385E">
              <w:rPr>
                <w:rFonts w:cstheme="minorHAnsi"/>
                <w:color w:val="231F20"/>
                <w:spacing w:val="-3"/>
              </w:rPr>
              <w:t>way?</w:t>
            </w:r>
          </w:p>
        </w:tc>
        <w:tc>
          <w:tcPr>
            <w:tcW w:w="8234" w:type="dxa"/>
            <w:gridSpan w:val="5"/>
          </w:tcPr>
          <w:p w:rsidR="00ED6DEF" w:rsidRPr="00CC385E" w:rsidRDefault="00ED6DEF" w:rsidP="00B96B7F">
            <w:pPr>
              <w:rPr>
                <w:rFonts w:cstheme="minorHAnsi"/>
                <w:color w:val="231F20"/>
              </w:rPr>
            </w:pPr>
            <w:r w:rsidRPr="00CC385E">
              <w:rPr>
                <w:rFonts w:cstheme="minorHAnsi"/>
                <w:color w:val="231F20"/>
              </w:rPr>
              <w:t>No</w:t>
            </w:r>
          </w:p>
        </w:tc>
      </w:tr>
      <w:tr w:rsidR="00B9670D" w:rsidRPr="00CC385E" w:rsidTr="00DB517D">
        <w:tc>
          <w:tcPr>
            <w:tcW w:w="7171" w:type="dxa"/>
            <w:gridSpan w:val="2"/>
            <w:shd w:val="clear" w:color="auto" w:fill="D9D9D9" w:themeFill="background1" w:themeFillShade="D9"/>
          </w:tcPr>
          <w:p w:rsidR="00B96B7F" w:rsidRPr="00CC385E" w:rsidRDefault="00B96B7F" w:rsidP="00B96B7F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Key actions achievements to date</w:t>
            </w:r>
          </w:p>
        </w:tc>
        <w:tc>
          <w:tcPr>
            <w:tcW w:w="8234" w:type="dxa"/>
            <w:gridSpan w:val="5"/>
            <w:shd w:val="clear" w:color="auto" w:fill="D9D9D9" w:themeFill="background1" w:themeFillShade="D9"/>
          </w:tcPr>
          <w:p w:rsidR="00B96B7F" w:rsidRPr="00CC385E" w:rsidRDefault="00B96B7F" w:rsidP="00B96B7F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Areas for further improvement based on areas of need</w:t>
            </w:r>
          </w:p>
        </w:tc>
      </w:tr>
      <w:tr w:rsidR="00B9670D" w:rsidRPr="00CC385E" w:rsidTr="00DB517D">
        <w:tc>
          <w:tcPr>
            <w:tcW w:w="7171" w:type="dxa"/>
            <w:gridSpan w:val="2"/>
          </w:tcPr>
          <w:p w:rsidR="00B96B7F" w:rsidRPr="00CC385E" w:rsidRDefault="00CF60F5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School Games Gold award achieved.</w:t>
            </w:r>
          </w:p>
          <w:p w:rsidR="00CF60F5" w:rsidRPr="00CC385E" w:rsidRDefault="00CF60F5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Increased involvement of pupils within competitive sports</w:t>
            </w:r>
            <w:r w:rsidR="00C24061">
              <w:rPr>
                <w:rFonts w:cstheme="minorHAnsi"/>
                <w:lang w:val="en-US"/>
              </w:rPr>
              <w:t xml:space="preserve"> through local competitions</w:t>
            </w:r>
            <w:r w:rsidRPr="00CC385E">
              <w:rPr>
                <w:rFonts w:cstheme="minorHAnsi"/>
                <w:lang w:val="en-US"/>
              </w:rPr>
              <w:t>.</w:t>
            </w:r>
          </w:p>
          <w:p w:rsidR="00CF60F5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Health for Life project including parent and child workshops (positive feedback from parents who have engaged)</w:t>
            </w:r>
          </w:p>
          <w:p w:rsidR="00BB2884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Sporting team’s achievement has continued to improve wi</w:t>
            </w:r>
            <w:r w:rsidR="00C24061">
              <w:rPr>
                <w:rFonts w:cstheme="minorHAnsi"/>
                <w:lang w:val="en-US"/>
              </w:rPr>
              <w:t>th progress through tournaments: winners of School Games Cricket for Birmingham.</w:t>
            </w:r>
            <w:r w:rsidRPr="00CC385E">
              <w:rPr>
                <w:rFonts w:cstheme="minorHAnsi"/>
                <w:lang w:val="en-US"/>
              </w:rPr>
              <w:t xml:space="preserve"> </w:t>
            </w:r>
          </w:p>
          <w:p w:rsidR="00CC385E" w:rsidRPr="00CC385E" w:rsidRDefault="00C24061" w:rsidP="00C2406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Participation in extra-</w:t>
            </w:r>
            <w:r w:rsidR="00CC385E">
              <w:rPr>
                <w:rFonts w:cstheme="minorHAnsi"/>
                <w:lang w:val="en-US"/>
              </w:rPr>
              <w:t>curricu</w:t>
            </w:r>
            <w:r>
              <w:rPr>
                <w:rFonts w:cstheme="minorHAnsi"/>
                <w:lang w:val="en-US"/>
              </w:rPr>
              <w:t xml:space="preserve">lar sporting events continues to </w:t>
            </w:r>
            <w:r w:rsidR="00CC385E">
              <w:rPr>
                <w:rFonts w:cstheme="minorHAnsi"/>
                <w:lang w:val="en-US"/>
              </w:rPr>
              <w:t>increase each academic year.</w:t>
            </w:r>
          </w:p>
        </w:tc>
        <w:tc>
          <w:tcPr>
            <w:tcW w:w="8234" w:type="dxa"/>
            <w:gridSpan w:val="5"/>
          </w:tcPr>
          <w:p w:rsidR="00B96B7F" w:rsidRPr="00CC385E" w:rsidRDefault="00BB2884" w:rsidP="00BB28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Obesity </w:t>
            </w:r>
            <w:r w:rsidR="00CC385E">
              <w:rPr>
                <w:rFonts w:cstheme="minorHAnsi"/>
                <w:lang w:val="en-US"/>
              </w:rPr>
              <w:t>and the sedentary behaviour of pupils and their families.</w:t>
            </w:r>
            <w:r w:rsidRPr="00CC385E">
              <w:rPr>
                <w:rFonts w:cstheme="minorHAnsi"/>
                <w:lang w:val="en-US"/>
              </w:rPr>
              <w:t xml:space="preserve"> </w:t>
            </w:r>
          </w:p>
          <w:p w:rsidR="00BB2884" w:rsidRPr="00CC385E" w:rsidRDefault="00BB2884" w:rsidP="005044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Class based staff subject knowledge and confidence in teaching PE</w:t>
            </w:r>
            <w:r w:rsidR="00CC385E">
              <w:rPr>
                <w:rFonts w:cstheme="minorHAnsi"/>
                <w:lang w:val="en-US"/>
              </w:rPr>
              <w:t>.</w:t>
            </w:r>
          </w:p>
        </w:tc>
      </w:tr>
      <w:tr w:rsidR="00B9670D" w:rsidRPr="00CC385E" w:rsidTr="00DB517D">
        <w:trPr>
          <w:gridAfter w:val="1"/>
          <w:wAfter w:w="101" w:type="dxa"/>
        </w:trPr>
        <w:tc>
          <w:tcPr>
            <w:tcW w:w="3256" w:type="dxa"/>
          </w:tcPr>
          <w:p w:rsidR="006353C8" w:rsidRPr="00CC385E" w:rsidRDefault="006353C8" w:rsidP="006353C8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Academic Year:</w:t>
            </w:r>
            <w:r w:rsidRPr="00CC385E">
              <w:rPr>
                <w:rFonts w:cstheme="minorHAnsi"/>
                <w:lang w:val="en-US"/>
              </w:rPr>
              <w:t xml:space="preserve"> 2018/2019</w:t>
            </w:r>
          </w:p>
        </w:tc>
        <w:tc>
          <w:tcPr>
            <w:tcW w:w="5386" w:type="dxa"/>
            <w:gridSpan w:val="2"/>
          </w:tcPr>
          <w:p w:rsidR="006353C8" w:rsidRPr="00CC385E" w:rsidRDefault="006353C8" w:rsidP="006353C8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Total Fund Allocated:</w:t>
            </w:r>
            <w:r w:rsidRPr="00CC385E">
              <w:rPr>
                <w:rFonts w:cstheme="minorHAnsi"/>
                <w:lang w:val="en-US"/>
              </w:rPr>
              <w:t xml:space="preserve"> £22,583.00</w:t>
            </w:r>
          </w:p>
        </w:tc>
        <w:tc>
          <w:tcPr>
            <w:tcW w:w="1675" w:type="dxa"/>
          </w:tcPr>
          <w:p w:rsidR="006353C8" w:rsidRPr="00CC385E" w:rsidRDefault="006353C8" w:rsidP="006353C8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Date updated:</w:t>
            </w:r>
          </w:p>
        </w:tc>
        <w:tc>
          <w:tcPr>
            <w:tcW w:w="4987" w:type="dxa"/>
            <w:gridSpan w:val="2"/>
            <w:tcBorders>
              <w:top w:val="nil"/>
              <w:right w:val="single" w:sz="4" w:space="0" w:color="auto"/>
            </w:tcBorders>
          </w:tcPr>
          <w:p w:rsidR="006353C8" w:rsidRPr="00CC385E" w:rsidRDefault="00C24061" w:rsidP="00DD117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April 2019</w:t>
            </w:r>
          </w:p>
        </w:tc>
      </w:tr>
      <w:tr w:rsidR="00BB2884" w:rsidRPr="00CC385E" w:rsidTr="00DB517D">
        <w:tc>
          <w:tcPr>
            <w:tcW w:w="15405" w:type="dxa"/>
            <w:gridSpan w:val="7"/>
          </w:tcPr>
          <w:p w:rsidR="00BB2884" w:rsidRPr="00CC385E" w:rsidRDefault="00BB2884" w:rsidP="006353C8">
            <w:pPr>
              <w:rPr>
                <w:rFonts w:cstheme="minorHAnsi"/>
                <w:b/>
              </w:rPr>
            </w:pPr>
            <w:r w:rsidRPr="00CC385E">
              <w:rPr>
                <w:rFonts w:cstheme="minorHAnsi"/>
                <w:b/>
                <w:u w:val="single"/>
              </w:rPr>
              <w:t>Key Indicator 1:</w:t>
            </w:r>
            <w:r w:rsidRPr="00CC385E">
              <w:rPr>
                <w:rFonts w:cstheme="minorHAnsi"/>
              </w:rPr>
              <w:t xml:space="preserve"> The engagement of </w:t>
            </w:r>
            <w:r w:rsidRPr="00CC385E">
              <w:rPr>
                <w:rFonts w:cstheme="minorHAnsi"/>
                <w:u w:val="single" w:color="0E5F22"/>
              </w:rPr>
              <w:t>all</w:t>
            </w:r>
            <w:r w:rsidRPr="00CC385E">
              <w:rPr>
                <w:rFonts w:cstheme="minorHAnsi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</w:tc>
      </w:tr>
      <w:tr w:rsidR="00BB2884" w:rsidRPr="00CC385E" w:rsidTr="0028306E">
        <w:tc>
          <w:tcPr>
            <w:tcW w:w="3256" w:type="dxa"/>
            <w:shd w:val="clear" w:color="auto" w:fill="D9D9D9" w:themeFill="background1" w:themeFillShade="D9"/>
          </w:tcPr>
          <w:p w:rsidR="00BB2884" w:rsidRPr="00CC385E" w:rsidRDefault="00BB2884" w:rsidP="00B96B7F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School focus with clarity on intended impact on pupils: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BB2884" w:rsidRPr="00CC385E" w:rsidRDefault="00BB2884" w:rsidP="00B96B7F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Actions to achieve: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2884" w:rsidRPr="00CC385E" w:rsidRDefault="00C902B7" w:rsidP="00DD117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Evidence and impact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BB2884" w:rsidRPr="00CC385E" w:rsidRDefault="00BB2884" w:rsidP="00B96B7F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Sustainability and next steps:</w:t>
            </w:r>
          </w:p>
        </w:tc>
      </w:tr>
      <w:tr w:rsidR="00BB2884" w:rsidRPr="00CC385E" w:rsidTr="0028306E">
        <w:tc>
          <w:tcPr>
            <w:tcW w:w="3256" w:type="dxa"/>
          </w:tcPr>
          <w:p w:rsidR="00BB2884" w:rsidRPr="00CC385E" w:rsidRDefault="00BB2884" w:rsidP="00600FE3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All</w:t>
            </w:r>
            <w:r w:rsidRPr="00CC385E">
              <w:rPr>
                <w:rFonts w:cstheme="minorHAnsi"/>
                <w:lang w:val="en-US"/>
              </w:rPr>
              <w:t xml:space="preserve"> children to receive equal opportunities to engage in regular physical activity with an understanding of why it is important. </w:t>
            </w:r>
          </w:p>
        </w:tc>
        <w:tc>
          <w:tcPr>
            <w:tcW w:w="5386" w:type="dxa"/>
            <w:gridSpan w:val="2"/>
          </w:tcPr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Health for Life project</w:t>
            </w:r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Parent workshops focused on well-being and health. </w:t>
            </w:r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Dinner supervisor training in playground games.</w:t>
            </w:r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Regular auditing and resourcing of equipment. </w:t>
            </w:r>
          </w:p>
          <w:p w:rsidR="00BB2884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lastRenderedPageBreak/>
              <w:t>Wake up and shake up for breakfast club participants</w:t>
            </w:r>
          </w:p>
          <w:p w:rsidR="00C24061" w:rsidRPr="00CC385E" w:rsidRDefault="00C24061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Active play at breakfast club i.e. skipping, football </w:t>
            </w:r>
            <w:proofErr w:type="spellStart"/>
            <w:r>
              <w:rPr>
                <w:rFonts w:cstheme="minorHAnsi"/>
                <w:lang w:val="en-US"/>
              </w:rPr>
              <w:t>etc</w:t>
            </w:r>
            <w:proofErr w:type="spellEnd"/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Extra-curricular sports activities</w:t>
            </w:r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Development of outdoor multi </w:t>
            </w:r>
            <w:r w:rsidR="00C24061">
              <w:rPr>
                <w:rFonts w:cstheme="minorHAnsi"/>
                <w:lang w:val="en-US"/>
              </w:rPr>
              <w:t>use games area (MUGA)</w:t>
            </w:r>
          </w:p>
          <w:p w:rsidR="00CC385E" w:rsidRPr="00CC385E" w:rsidRDefault="00DD1173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SEND and G&amp;T children have opportunities to engage with differentiated activities and competitions.</w:t>
            </w:r>
          </w:p>
          <w:p w:rsidR="00DD1173" w:rsidRDefault="00CC385E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Increased participation in extra</w:t>
            </w:r>
            <w:r w:rsidR="00C24061">
              <w:rPr>
                <w:rFonts w:cstheme="minorHAnsi"/>
                <w:lang w:val="en-US"/>
              </w:rPr>
              <w:t>-</w:t>
            </w:r>
            <w:r w:rsidRPr="00CC385E">
              <w:rPr>
                <w:rFonts w:cstheme="minorHAnsi"/>
                <w:lang w:val="en-US"/>
              </w:rPr>
              <w:t xml:space="preserve">curricular activities. </w:t>
            </w:r>
            <w:r w:rsidR="00DD1173" w:rsidRPr="00CC385E">
              <w:rPr>
                <w:rFonts w:cstheme="minorHAnsi"/>
                <w:lang w:val="en-US"/>
              </w:rPr>
              <w:t xml:space="preserve"> </w:t>
            </w:r>
          </w:p>
          <w:p w:rsidR="00C24061" w:rsidRDefault="00C24061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Activities available before school in MUGA</w:t>
            </w:r>
          </w:p>
          <w:p w:rsidR="00970311" w:rsidRDefault="00970311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Swimming lessons</w:t>
            </w:r>
          </w:p>
          <w:p w:rsidR="00C24061" w:rsidRPr="00832726" w:rsidRDefault="00C24061" w:rsidP="00832726">
            <w:pPr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BB2884" w:rsidRPr="00B96AEF" w:rsidRDefault="00DD1173" w:rsidP="00B96AEF">
            <w:pPr>
              <w:rPr>
                <w:rFonts w:cstheme="minorHAnsi"/>
                <w:lang w:val="en-US"/>
              </w:rPr>
            </w:pPr>
            <w:r w:rsidRPr="00B96AEF">
              <w:rPr>
                <w:rFonts w:cstheme="minorHAnsi"/>
                <w:lang w:val="en-US"/>
              </w:rPr>
              <w:lastRenderedPageBreak/>
              <w:t>M</w:t>
            </w:r>
            <w:r w:rsidR="00BB2884" w:rsidRPr="00B96AEF">
              <w:rPr>
                <w:rFonts w:cstheme="minorHAnsi"/>
                <w:lang w:val="en-US"/>
              </w:rPr>
              <w:t>onitoring of dinnertimes</w:t>
            </w:r>
          </w:p>
          <w:p w:rsidR="00BB2884" w:rsidRDefault="00DD1173" w:rsidP="00B96AEF">
            <w:pPr>
              <w:rPr>
                <w:rFonts w:cstheme="minorHAnsi"/>
                <w:lang w:val="en-US"/>
              </w:rPr>
            </w:pPr>
            <w:r w:rsidRPr="00B96AEF">
              <w:rPr>
                <w:rFonts w:cstheme="minorHAnsi"/>
                <w:lang w:val="en-US"/>
              </w:rPr>
              <w:t>P</w:t>
            </w:r>
            <w:r w:rsidR="00BB2884" w:rsidRPr="00B96AEF">
              <w:rPr>
                <w:rFonts w:cstheme="minorHAnsi"/>
                <w:lang w:val="en-US"/>
              </w:rPr>
              <w:t>arent feedback from workshops</w:t>
            </w:r>
            <w:r w:rsidR="00CA2DA7">
              <w:rPr>
                <w:rFonts w:cstheme="minorHAnsi"/>
                <w:lang w:val="en-US"/>
              </w:rPr>
              <w:t>, pupil voice, observations</w:t>
            </w:r>
          </w:p>
          <w:p w:rsidR="00DD64BA" w:rsidRDefault="00DD64BA" w:rsidP="00B96A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Club attendance registers</w:t>
            </w:r>
          </w:p>
          <w:p w:rsidR="00DD64BA" w:rsidRDefault="00DD64BA" w:rsidP="00B96AEF">
            <w:pPr>
              <w:rPr>
                <w:rFonts w:cstheme="minorHAnsi"/>
                <w:lang w:val="en-US"/>
              </w:rPr>
            </w:pPr>
          </w:p>
          <w:p w:rsidR="00B96AEF" w:rsidRDefault="00B96AEF" w:rsidP="00B96A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Parents have provided positive feedback about the sessions and have </w:t>
            </w:r>
            <w:r>
              <w:rPr>
                <w:rFonts w:cstheme="minorHAnsi"/>
                <w:lang w:val="en-US"/>
              </w:rPr>
              <w:lastRenderedPageBreak/>
              <w:t xml:space="preserve">shown enthusiasm for cooking with their children. </w:t>
            </w:r>
          </w:p>
          <w:p w:rsidR="00CA2DA7" w:rsidRDefault="00C902B7" w:rsidP="00B96AEF">
            <w:pPr>
              <w:rPr>
                <w:rFonts w:cstheme="minorHAnsi"/>
                <w:lang w:val="en-US"/>
              </w:rPr>
            </w:pPr>
            <w:r w:rsidRPr="00B96AEF">
              <w:rPr>
                <w:rFonts w:cstheme="minorHAnsi"/>
                <w:lang w:val="en-US"/>
              </w:rPr>
              <w:t>Children have an understanding of the importance of regular exercise on their health and well-being.</w:t>
            </w:r>
          </w:p>
          <w:p w:rsidR="00CA2DA7" w:rsidRDefault="00CA2DA7" w:rsidP="00B96A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Observations at playtime and lunchtime show that children are engaged in play. Incidents of poor behaviour at lunchtime has reduced (CPOMS audit). </w:t>
            </w:r>
          </w:p>
          <w:p w:rsidR="00DC73EF" w:rsidRDefault="00DC73EF" w:rsidP="00B96AEF">
            <w:pPr>
              <w:rPr>
                <w:rFonts w:cstheme="minorHAnsi"/>
                <w:lang w:val="en-US"/>
              </w:rPr>
            </w:pPr>
          </w:p>
          <w:p w:rsidR="00DC73EF" w:rsidRDefault="00DC73EF" w:rsidP="00B96A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Increased fitness of pupils – assessed during PE assessments.</w:t>
            </w:r>
          </w:p>
          <w:p w:rsidR="00DC73EF" w:rsidRDefault="00DC73EF" w:rsidP="00B96AEF">
            <w:pPr>
              <w:rPr>
                <w:rFonts w:cstheme="minorHAnsi"/>
                <w:lang w:val="en-US"/>
              </w:rPr>
            </w:pPr>
          </w:p>
          <w:p w:rsidR="00DD64BA" w:rsidRDefault="00DD64BA" w:rsidP="00B96A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Increased skill level in sports and physical activities.</w:t>
            </w:r>
          </w:p>
          <w:p w:rsidR="00DD64BA" w:rsidRDefault="00DD64BA" w:rsidP="00B96AEF">
            <w:pPr>
              <w:rPr>
                <w:rFonts w:cstheme="minorHAnsi"/>
                <w:lang w:val="en-US"/>
              </w:rPr>
            </w:pPr>
          </w:p>
          <w:p w:rsidR="00B96AEF" w:rsidRDefault="00B96AEF" w:rsidP="00B96AEF">
            <w:pPr>
              <w:rPr>
                <w:rFonts w:cstheme="minorHAnsi"/>
                <w:lang w:val="en-US"/>
              </w:rPr>
            </w:pPr>
          </w:p>
          <w:p w:rsidR="00CA2DA7" w:rsidRPr="00B96AEF" w:rsidRDefault="00CA2DA7" w:rsidP="00B96AEF">
            <w:pPr>
              <w:rPr>
                <w:rFonts w:cstheme="minorHAnsi"/>
                <w:lang w:val="en-US"/>
              </w:rPr>
            </w:pPr>
          </w:p>
          <w:p w:rsidR="00B96AEF" w:rsidRDefault="00B96AEF" w:rsidP="00B96AEF">
            <w:pPr>
              <w:jc w:val="center"/>
              <w:rPr>
                <w:rFonts w:cstheme="minorHAnsi"/>
                <w:lang w:val="en-US"/>
              </w:rPr>
            </w:pPr>
          </w:p>
          <w:p w:rsidR="00B96AEF" w:rsidRPr="00B96AEF" w:rsidRDefault="00B96AEF" w:rsidP="00B96A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077" w:type="dxa"/>
            <w:gridSpan w:val="2"/>
          </w:tcPr>
          <w:p w:rsidR="00BB2884" w:rsidRPr="00CC385E" w:rsidRDefault="00BB2884" w:rsidP="00B96B7F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lastRenderedPageBreak/>
              <w:t xml:space="preserve">Staff </w:t>
            </w:r>
            <w:proofErr w:type="gramStart"/>
            <w:r w:rsidRPr="00CC385E">
              <w:rPr>
                <w:rFonts w:cstheme="minorHAnsi"/>
                <w:lang w:val="en-US"/>
              </w:rPr>
              <w:t>are trained</w:t>
            </w:r>
            <w:proofErr w:type="gramEnd"/>
            <w:r w:rsidRPr="00CC385E">
              <w:rPr>
                <w:rFonts w:cstheme="minorHAnsi"/>
                <w:lang w:val="en-US"/>
              </w:rPr>
              <w:t xml:space="preserve"> to continue to build on good practice.</w:t>
            </w:r>
          </w:p>
          <w:p w:rsidR="00BB2884" w:rsidRPr="00CC385E" w:rsidRDefault="00BB2884" w:rsidP="00B96B7F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Monitoring provides next steps to provide swift changes where required. </w:t>
            </w:r>
          </w:p>
        </w:tc>
      </w:tr>
      <w:tr w:rsidR="002170FA" w:rsidRPr="00CC385E" w:rsidTr="00CA2DA7">
        <w:tc>
          <w:tcPr>
            <w:tcW w:w="3256" w:type="dxa"/>
          </w:tcPr>
          <w:p w:rsidR="002170FA" w:rsidRPr="00CC385E" w:rsidRDefault="00970311" w:rsidP="00600FE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Sports Premium Allocation:</w:t>
            </w:r>
          </w:p>
        </w:tc>
        <w:tc>
          <w:tcPr>
            <w:tcW w:w="12149" w:type="dxa"/>
            <w:gridSpan w:val="6"/>
          </w:tcPr>
          <w:p w:rsidR="002170FA" w:rsidRDefault="00970311" w:rsidP="00B96B7F">
            <w:pPr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Extra curricular</w:t>
            </w:r>
            <w:proofErr w:type="spellEnd"/>
            <w:r>
              <w:rPr>
                <w:rFonts w:cstheme="minorHAnsi"/>
                <w:lang w:val="en-US"/>
              </w:rPr>
              <w:t xml:space="preserve"> provision £2000 (9% of Sports Premium)</w:t>
            </w:r>
          </w:p>
          <w:p w:rsidR="00970311" w:rsidRDefault="00970311" w:rsidP="00B96B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Breakfast/Lunchtime equipment £1,421.16 (6% of Sports Premium)</w:t>
            </w:r>
          </w:p>
          <w:p w:rsidR="00970311" w:rsidRPr="00CC385E" w:rsidRDefault="00970311" w:rsidP="00B96B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Swimming sessions £10,061.80 (45% of Sports Premium)</w:t>
            </w:r>
          </w:p>
        </w:tc>
      </w:tr>
      <w:tr w:rsidR="00C24061" w:rsidRPr="00CC385E" w:rsidTr="00CA2DA7">
        <w:tc>
          <w:tcPr>
            <w:tcW w:w="15405" w:type="dxa"/>
            <w:gridSpan w:val="7"/>
          </w:tcPr>
          <w:p w:rsidR="00C24061" w:rsidRDefault="00C24061" w:rsidP="00CF60F5">
            <w:pPr>
              <w:rPr>
                <w:rFonts w:cstheme="minorHAnsi"/>
              </w:rPr>
            </w:pPr>
            <w:r w:rsidRPr="00CC385E">
              <w:rPr>
                <w:rFonts w:cstheme="minorHAnsi"/>
                <w:b/>
                <w:u w:val="single"/>
              </w:rPr>
              <w:t>Key Indicator 2:</w:t>
            </w:r>
            <w:r w:rsidRPr="00CC385E">
              <w:rPr>
                <w:rFonts w:cstheme="minorHAnsi"/>
              </w:rPr>
              <w:t xml:space="preserve"> Increased confidence, knowledge and skills of all staff in teaching PE and sport. </w:t>
            </w:r>
          </w:p>
          <w:p w:rsidR="00C24061" w:rsidRPr="00CC385E" w:rsidRDefault="00C24061" w:rsidP="00CF60F5">
            <w:pPr>
              <w:rPr>
                <w:rFonts w:cstheme="minorHAnsi"/>
                <w:b/>
              </w:rPr>
            </w:pPr>
          </w:p>
        </w:tc>
      </w:tr>
      <w:tr w:rsidR="00BB2884" w:rsidRPr="00CC385E" w:rsidTr="0028306E">
        <w:tc>
          <w:tcPr>
            <w:tcW w:w="3256" w:type="dxa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School focus with clarity on intended impact on pupils: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Actions to achieve: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2884" w:rsidRPr="00CC385E" w:rsidRDefault="00DD64BA" w:rsidP="00DD117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Evidence and impact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Sustainability and next steps:</w:t>
            </w:r>
          </w:p>
        </w:tc>
      </w:tr>
      <w:tr w:rsidR="00BB2884" w:rsidRPr="00CC385E" w:rsidTr="0028306E">
        <w:tc>
          <w:tcPr>
            <w:tcW w:w="3256" w:type="dxa"/>
          </w:tcPr>
          <w:p w:rsidR="00BB2884" w:rsidRPr="00CC385E" w:rsidRDefault="00BB2884" w:rsidP="00600FE3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Strengthen the impact and accountability of staff in improving the quality of</w:t>
            </w:r>
            <w:r w:rsidR="00DD1173" w:rsidRPr="00CC385E">
              <w:rPr>
                <w:rFonts w:cstheme="minorHAnsi"/>
                <w:lang w:val="en-US"/>
              </w:rPr>
              <w:t xml:space="preserve"> teaching and pupils’ progress in PE. </w:t>
            </w:r>
          </w:p>
        </w:tc>
        <w:tc>
          <w:tcPr>
            <w:tcW w:w="5386" w:type="dxa"/>
            <w:gridSpan w:val="2"/>
          </w:tcPr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Staff access CPD</w:t>
            </w:r>
            <w:r w:rsidR="00C24061">
              <w:rPr>
                <w:rFonts w:cstheme="minorHAnsi"/>
                <w:lang w:val="en-US"/>
              </w:rPr>
              <w:t xml:space="preserve"> through INSET</w:t>
            </w:r>
            <w:r w:rsidR="00DD1173" w:rsidRPr="00CC385E">
              <w:rPr>
                <w:rFonts w:cstheme="minorHAnsi"/>
                <w:lang w:val="en-US"/>
              </w:rPr>
              <w:t xml:space="preserve"> with PE staff</w:t>
            </w:r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NQTs access support as part of induction process</w:t>
            </w:r>
          </w:p>
          <w:p w:rsidR="00BB2884" w:rsidRPr="00CC385E" w:rsidRDefault="00BB2884" w:rsidP="00B967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Team teach sessions</w:t>
            </w:r>
          </w:p>
          <w:p w:rsidR="00BB2884" w:rsidRPr="00CC385E" w:rsidRDefault="00BB2884" w:rsidP="00CF60F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BB2884" w:rsidRPr="00CA2DA7" w:rsidRDefault="00DD1173" w:rsidP="00CA2DA7">
            <w:pPr>
              <w:rPr>
                <w:rFonts w:cstheme="minorHAnsi"/>
                <w:lang w:val="en-US"/>
              </w:rPr>
            </w:pPr>
            <w:r w:rsidRPr="00CA2DA7">
              <w:rPr>
                <w:rFonts w:cstheme="minorHAnsi"/>
                <w:lang w:val="en-US"/>
              </w:rPr>
              <w:t xml:space="preserve">Staff feedback </w:t>
            </w:r>
          </w:p>
          <w:p w:rsidR="00DD1173" w:rsidRDefault="00DD1173" w:rsidP="00CA2DA7">
            <w:pPr>
              <w:rPr>
                <w:rFonts w:cstheme="minorHAnsi"/>
                <w:lang w:val="en-US"/>
              </w:rPr>
            </w:pPr>
            <w:r w:rsidRPr="00CA2DA7">
              <w:rPr>
                <w:rFonts w:cstheme="minorHAnsi"/>
                <w:lang w:val="en-US"/>
              </w:rPr>
              <w:t>Learning walks and observations</w:t>
            </w:r>
          </w:p>
          <w:p w:rsidR="004130C8" w:rsidRDefault="00CA2DA7" w:rsidP="00CA2DA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Class based staff have </w:t>
            </w:r>
            <w:r w:rsidR="0028306E">
              <w:rPr>
                <w:rFonts w:cstheme="minorHAnsi"/>
                <w:lang w:val="en-US"/>
              </w:rPr>
              <w:t xml:space="preserve">fed back that they are increasing in confidence in their teaching of some areas of PE. Further development of this focus in required for the next school year. </w:t>
            </w:r>
          </w:p>
          <w:p w:rsidR="004130C8" w:rsidRDefault="004130C8" w:rsidP="00CA2DA7">
            <w:pPr>
              <w:rPr>
                <w:rFonts w:cstheme="minorHAnsi"/>
                <w:lang w:val="en-US"/>
              </w:rPr>
            </w:pPr>
          </w:p>
          <w:p w:rsidR="004130C8" w:rsidRDefault="004130C8" w:rsidP="00CA2DA7">
            <w:pPr>
              <w:rPr>
                <w:rFonts w:cstheme="minorHAnsi"/>
                <w:lang w:val="en-US"/>
              </w:rPr>
            </w:pPr>
          </w:p>
          <w:p w:rsidR="004130C8" w:rsidRPr="00CA2DA7" w:rsidRDefault="004130C8" w:rsidP="00CA2DA7">
            <w:pPr>
              <w:rPr>
                <w:rFonts w:cstheme="minorHAnsi"/>
                <w:lang w:val="en-US"/>
              </w:rPr>
            </w:pPr>
          </w:p>
        </w:tc>
        <w:tc>
          <w:tcPr>
            <w:tcW w:w="3077" w:type="dxa"/>
            <w:gridSpan w:val="2"/>
          </w:tcPr>
          <w:p w:rsidR="00BB2884" w:rsidRPr="00CC385E" w:rsidRDefault="00DD1173" w:rsidP="00DD1173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lastRenderedPageBreak/>
              <w:t xml:space="preserve">Staff continue to have regular planned CPD, including targeted </w:t>
            </w:r>
            <w:proofErr w:type="gramStart"/>
            <w:r w:rsidRPr="00CC385E">
              <w:rPr>
                <w:rFonts w:cstheme="minorHAnsi"/>
                <w:lang w:val="en-US"/>
              </w:rPr>
              <w:t>team teach</w:t>
            </w:r>
            <w:proofErr w:type="gramEnd"/>
            <w:r w:rsidRPr="00CC385E">
              <w:rPr>
                <w:rFonts w:cstheme="minorHAnsi"/>
                <w:lang w:val="en-US"/>
              </w:rPr>
              <w:t xml:space="preserve"> sessions. </w:t>
            </w:r>
          </w:p>
        </w:tc>
      </w:tr>
      <w:tr w:rsidR="00970311" w:rsidRPr="00CC385E" w:rsidTr="00CA2DA7">
        <w:tc>
          <w:tcPr>
            <w:tcW w:w="3256" w:type="dxa"/>
          </w:tcPr>
          <w:p w:rsidR="00970311" w:rsidRPr="00CC385E" w:rsidRDefault="00970311" w:rsidP="00600FE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Sports Premium Allocation:</w:t>
            </w:r>
          </w:p>
        </w:tc>
        <w:tc>
          <w:tcPr>
            <w:tcW w:w="12149" w:type="dxa"/>
            <w:gridSpan w:val="6"/>
          </w:tcPr>
          <w:p w:rsidR="00970311" w:rsidRPr="00CC385E" w:rsidRDefault="00970311" w:rsidP="00DD117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Not used for this priority</w:t>
            </w:r>
          </w:p>
        </w:tc>
      </w:tr>
      <w:tr w:rsidR="00BB2884" w:rsidRPr="00CC385E" w:rsidTr="00DB517D">
        <w:tc>
          <w:tcPr>
            <w:tcW w:w="15405" w:type="dxa"/>
            <w:gridSpan w:val="7"/>
          </w:tcPr>
          <w:p w:rsidR="00BB2884" w:rsidRDefault="00BB2884" w:rsidP="00CF60F5">
            <w:pPr>
              <w:rPr>
                <w:rFonts w:cstheme="minorHAnsi"/>
              </w:rPr>
            </w:pPr>
            <w:r w:rsidRPr="00CC385E">
              <w:rPr>
                <w:rFonts w:cstheme="minorHAnsi"/>
                <w:b/>
                <w:u w:val="single"/>
              </w:rPr>
              <w:t>Key Indicator 3:</w:t>
            </w:r>
            <w:r w:rsidRPr="00CC385E">
              <w:rPr>
                <w:rFonts w:cstheme="minorHAnsi"/>
              </w:rPr>
              <w:t xml:space="preserve"> Broader experience of a range of sports and activities offered to all pupils.</w:t>
            </w:r>
          </w:p>
          <w:p w:rsidR="00C24061" w:rsidRPr="00CC385E" w:rsidRDefault="00C24061" w:rsidP="00CF60F5">
            <w:pPr>
              <w:rPr>
                <w:rFonts w:cstheme="minorHAnsi"/>
                <w:b/>
              </w:rPr>
            </w:pPr>
          </w:p>
        </w:tc>
      </w:tr>
      <w:tr w:rsidR="00BB2884" w:rsidRPr="00CC385E" w:rsidTr="0028306E">
        <w:tc>
          <w:tcPr>
            <w:tcW w:w="3256" w:type="dxa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School focus with clarity on intended impact on pupils: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Actions to achieve: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2884" w:rsidRPr="00CC385E" w:rsidRDefault="00BB2884" w:rsidP="00DD1173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Evidence</w:t>
            </w:r>
            <w:r w:rsidR="00DD64BA">
              <w:rPr>
                <w:rFonts w:cstheme="minorHAnsi"/>
                <w:b/>
                <w:lang w:val="en-US"/>
              </w:rPr>
              <w:t xml:space="preserve"> and impact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Sustainability and next steps:</w:t>
            </w:r>
          </w:p>
        </w:tc>
      </w:tr>
      <w:tr w:rsidR="00BB2884" w:rsidRPr="00CC385E" w:rsidTr="0028306E">
        <w:tc>
          <w:tcPr>
            <w:tcW w:w="3256" w:type="dxa"/>
          </w:tcPr>
          <w:p w:rsidR="00BB2884" w:rsidRPr="00CC385E" w:rsidRDefault="00BB2884" w:rsidP="00600FE3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Children throughout KS2 to have the opportunity to experience a range of </w:t>
            </w:r>
            <w:r w:rsidR="00DD1173" w:rsidRPr="00CC385E">
              <w:rPr>
                <w:rFonts w:cstheme="minorHAnsi"/>
                <w:lang w:val="en-US"/>
              </w:rPr>
              <w:t xml:space="preserve">sporting activities and events during their time at Thornton including sports that are less well known. </w:t>
            </w:r>
          </w:p>
        </w:tc>
        <w:tc>
          <w:tcPr>
            <w:tcW w:w="5386" w:type="dxa"/>
            <w:gridSpan w:val="2"/>
          </w:tcPr>
          <w:p w:rsidR="00BB2884" w:rsidRPr="00CC385E" w:rsidRDefault="00BB2884" w:rsidP="00600F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Membership to relevant leagues/tournaments</w:t>
            </w:r>
            <w:r w:rsidR="00C24061">
              <w:rPr>
                <w:rFonts w:cstheme="minorHAnsi"/>
                <w:lang w:val="en-US"/>
              </w:rPr>
              <w:t xml:space="preserve"> – extended sports such as Tri Golf and Handball.</w:t>
            </w:r>
          </w:p>
          <w:p w:rsidR="00BB2884" w:rsidRDefault="00BB2884" w:rsidP="00CF60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Range of sports/experiences planned over the school year</w:t>
            </w:r>
            <w:r w:rsidR="00C24061">
              <w:rPr>
                <w:rFonts w:cstheme="minorHAnsi"/>
                <w:lang w:val="en-US"/>
              </w:rPr>
              <w:t xml:space="preserve"> e.g. curling, archery.</w:t>
            </w:r>
          </w:p>
          <w:p w:rsidR="00986A45" w:rsidRDefault="00986A45" w:rsidP="00CF60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Residential experience for Year 6.</w:t>
            </w:r>
          </w:p>
          <w:p w:rsidR="00970311" w:rsidRPr="00CC385E" w:rsidRDefault="00970311" w:rsidP="00CF60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Transport to competitions.</w:t>
            </w:r>
          </w:p>
        </w:tc>
        <w:tc>
          <w:tcPr>
            <w:tcW w:w="3686" w:type="dxa"/>
            <w:gridSpan w:val="2"/>
          </w:tcPr>
          <w:p w:rsidR="00BB2884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 xml:space="preserve">PE evidence folder </w:t>
            </w:r>
          </w:p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PE calendar and notice board</w:t>
            </w:r>
          </w:p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Pupil voice</w:t>
            </w:r>
          </w:p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Parent voice</w:t>
            </w:r>
          </w:p>
          <w:p w:rsidR="00DD1173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PE planning</w:t>
            </w:r>
          </w:p>
          <w:p w:rsidR="004130C8" w:rsidRDefault="004130C8" w:rsidP="004130C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Pupils are </w:t>
            </w:r>
            <w:proofErr w:type="gramStart"/>
            <w:r>
              <w:rPr>
                <w:rFonts w:cstheme="minorHAnsi"/>
                <w:lang w:val="en-US"/>
              </w:rPr>
              <w:t>enthused</w:t>
            </w:r>
            <w:proofErr w:type="gramEnd"/>
            <w:r>
              <w:rPr>
                <w:rFonts w:cstheme="minorHAnsi"/>
                <w:lang w:val="en-US"/>
              </w:rPr>
              <w:t xml:space="preserve"> to participate in different sports which they have not prior experience of such as tri golf and a large number of pupils participate in the School Games due to team successes. </w:t>
            </w:r>
          </w:p>
          <w:p w:rsidR="004130C8" w:rsidRPr="004130C8" w:rsidRDefault="004130C8" w:rsidP="004130C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 school </w:t>
            </w:r>
            <w:proofErr w:type="gramStart"/>
            <w:r>
              <w:rPr>
                <w:rFonts w:cstheme="minorHAnsi"/>
                <w:lang w:val="en-US"/>
              </w:rPr>
              <w:t>has been awarded</w:t>
            </w:r>
            <w:proofErr w:type="gramEnd"/>
            <w:r>
              <w:rPr>
                <w:rFonts w:cstheme="minorHAnsi"/>
                <w:lang w:val="en-US"/>
              </w:rPr>
              <w:t xml:space="preserve"> the Gold Sports Games mark.</w:t>
            </w:r>
          </w:p>
        </w:tc>
        <w:tc>
          <w:tcPr>
            <w:tcW w:w="3077" w:type="dxa"/>
            <w:gridSpan w:val="2"/>
          </w:tcPr>
          <w:p w:rsidR="00BB2884" w:rsidRPr="00CC385E" w:rsidRDefault="00DD1173" w:rsidP="00CF60F5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Planning to be regularly </w:t>
            </w:r>
            <w:proofErr w:type="gramStart"/>
            <w:r w:rsidRPr="00CC385E">
              <w:rPr>
                <w:rFonts w:cstheme="minorHAnsi"/>
                <w:lang w:val="en-US"/>
              </w:rPr>
              <w:t>reviewed</w:t>
            </w:r>
            <w:proofErr w:type="gramEnd"/>
            <w:r w:rsidRPr="00CC385E">
              <w:rPr>
                <w:rFonts w:cstheme="minorHAnsi"/>
                <w:lang w:val="en-US"/>
              </w:rPr>
              <w:t xml:space="preserve"> and updated based on children’s interests, local, national and international events. </w:t>
            </w:r>
          </w:p>
        </w:tc>
      </w:tr>
      <w:tr w:rsidR="00970311" w:rsidRPr="00CC385E" w:rsidTr="00CA2DA7">
        <w:tc>
          <w:tcPr>
            <w:tcW w:w="3256" w:type="dxa"/>
          </w:tcPr>
          <w:p w:rsidR="00970311" w:rsidRPr="00C902B7" w:rsidRDefault="00C902B7" w:rsidP="00600FE3">
            <w:pPr>
              <w:rPr>
                <w:rFonts w:cstheme="minorHAnsi"/>
                <w:b/>
                <w:lang w:val="en-US"/>
              </w:rPr>
            </w:pPr>
            <w:r w:rsidRPr="00C902B7">
              <w:rPr>
                <w:rFonts w:cstheme="minorHAnsi"/>
                <w:b/>
                <w:lang w:val="en-US"/>
              </w:rPr>
              <w:t>Sports Premium Allocation</w:t>
            </w:r>
          </w:p>
        </w:tc>
        <w:tc>
          <w:tcPr>
            <w:tcW w:w="12149" w:type="dxa"/>
            <w:gridSpan w:val="6"/>
          </w:tcPr>
          <w:p w:rsidR="00970311" w:rsidRDefault="00970311" w:rsidP="00CF60F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Memberships to teams/leagues £250 (1% of Sports Premium)</w:t>
            </w:r>
          </w:p>
          <w:p w:rsidR="00970311" w:rsidRDefault="00970311" w:rsidP="007E5D8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Transport to competitions </w:t>
            </w:r>
            <w:r w:rsidR="00C902B7">
              <w:rPr>
                <w:rFonts w:cstheme="minorHAnsi"/>
                <w:lang w:val="en-US"/>
              </w:rPr>
              <w:t>£</w:t>
            </w:r>
            <w:r w:rsidR="007E5D8E">
              <w:rPr>
                <w:rFonts w:cstheme="minorHAnsi"/>
                <w:lang w:val="en-US"/>
              </w:rPr>
              <w:t>5204.29 (23</w:t>
            </w:r>
            <w:r w:rsidR="00C902B7">
              <w:rPr>
                <w:rFonts w:cstheme="minorHAnsi"/>
                <w:lang w:val="en-US"/>
              </w:rPr>
              <w:t>% of Sports Premium)</w:t>
            </w:r>
          </w:p>
          <w:p w:rsidR="007E5D8E" w:rsidRPr="00CC385E" w:rsidRDefault="007E5D8E" w:rsidP="007E5D8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 health and safety check and maintenance of equipment £1869  (8% of Sports Premium)</w:t>
            </w:r>
          </w:p>
        </w:tc>
      </w:tr>
      <w:tr w:rsidR="00BB2884" w:rsidRPr="00CC385E" w:rsidTr="00DB517D">
        <w:tc>
          <w:tcPr>
            <w:tcW w:w="15405" w:type="dxa"/>
            <w:gridSpan w:val="7"/>
          </w:tcPr>
          <w:p w:rsidR="00BB2884" w:rsidRDefault="00BB2884" w:rsidP="00BB2884">
            <w:pPr>
              <w:rPr>
                <w:rFonts w:cstheme="minorHAnsi"/>
              </w:rPr>
            </w:pPr>
            <w:r w:rsidRPr="00CC385E">
              <w:rPr>
                <w:rFonts w:cstheme="minorHAnsi"/>
                <w:b/>
                <w:u w:val="single"/>
              </w:rPr>
              <w:t>Key Indicator 4:</w:t>
            </w:r>
            <w:r w:rsidRPr="00CC385E">
              <w:rPr>
                <w:rFonts w:cstheme="minorHAnsi"/>
              </w:rPr>
              <w:t xml:space="preserve"> Increased participation in competitive sport.</w:t>
            </w:r>
          </w:p>
          <w:p w:rsidR="00C24061" w:rsidRPr="00CC385E" w:rsidRDefault="00C24061" w:rsidP="00BB2884">
            <w:pPr>
              <w:rPr>
                <w:rFonts w:cstheme="minorHAnsi"/>
                <w:b/>
              </w:rPr>
            </w:pPr>
          </w:p>
        </w:tc>
      </w:tr>
      <w:tr w:rsidR="00BB2884" w:rsidRPr="00CC385E" w:rsidTr="0028306E">
        <w:tc>
          <w:tcPr>
            <w:tcW w:w="3256" w:type="dxa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School focus with clarity on intended impact on pupils: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</w:rPr>
              <w:t>Actions to achieve: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B2884" w:rsidRPr="00CC385E" w:rsidRDefault="00DD64BA" w:rsidP="00DD1173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Evidence and impact</w:t>
            </w:r>
            <w:bookmarkStart w:id="0" w:name="_GoBack"/>
            <w:bookmarkEnd w:id="0"/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BB2884" w:rsidRPr="00CC385E" w:rsidRDefault="00BB2884" w:rsidP="00CF60F5">
            <w:pPr>
              <w:jc w:val="center"/>
              <w:rPr>
                <w:rFonts w:cstheme="minorHAnsi"/>
                <w:b/>
                <w:lang w:val="en-US"/>
              </w:rPr>
            </w:pPr>
            <w:r w:rsidRPr="00CC385E">
              <w:rPr>
                <w:rFonts w:cstheme="minorHAnsi"/>
                <w:b/>
                <w:lang w:val="en-US"/>
              </w:rPr>
              <w:t>Sustainability and next steps:</w:t>
            </w:r>
          </w:p>
        </w:tc>
      </w:tr>
      <w:tr w:rsidR="00BB2884" w:rsidRPr="00CC385E" w:rsidTr="0028306E">
        <w:tc>
          <w:tcPr>
            <w:tcW w:w="3256" w:type="dxa"/>
          </w:tcPr>
          <w:p w:rsidR="00BB2884" w:rsidRPr="00CC385E" w:rsidRDefault="00BB2884" w:rsidP="00CB6C37">
            <w:p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Children at Thornton primary to be given the opportunity to engage in competitive </w:t>
            </w:r>
            <w:r w:rsidR="00DD1173" w:rsidRPr="00CC385E">
              <w:rPr>
                <w:rFonts w:cstheme="minorHAnsi"/>
                <w:lang w:val="en-US"/>
              </w:rPr>
              <w:t xml:space="preserve">sports regularly throughout their time at school. </w:t>
            </w:r>
          </w:p>
        </w:tc>
        <w:tc>
          <w:tcPr>
            <w:tcW w:w="5386" w:type="dxa"/>
            <w:gridSpan w:val="2"/>
          </w:tcPr>
          <w:p w:rsidR="00BB2884" w:rsidRPr="00CC385E" w:rsidRDefault="00BB2884" w:rsidP="00F311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System in place to monitor participation in School Games</w:t>
            </w:r>
          </w:p>
          <w:p w:rsidR="000C733B" w:rsidRPr="000C733B" w:rsidRDefault="00BB2884" w:rsidP="000C7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Sports coach actively engaged with School Games </w:t>
            </w:r>
            <w:proofErr w:type="spellStart"/>
            <w:r w:rsidRPr="00CC385E">
              <w:rPr>
                <w:rFonts w:cstheme="minorHAnsi"/>
                <w:lang w:val="en-US"/>
              </w:rPr>
              <w:t>Organiser</w:t>
            </w:r>
            <w:proofErr w:type="spellEnd"/>
            <w:r w:rsidRPr="00CC385E">
              <w:rPr>
                <w:rFonts w:cstheme="minorHAnsi"/>
                <w:lang w:val="en-US"/>
              </w:rPr>
              <w:t xml:space="preserve"> </w:t>
            </w:r>
          </w:p>
          <w:p w:rsidR="00BB2884" w:rsidRPr="00CC385E" w:rsidRDefault="00BB2884" w:rsidP="00F311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Sports day</w:t>
            </w:r>
            <w:r w:rsidR="00C24061">
              <w:rPr>
                <w:rFonts w:cstheme="minorHAnsi"/>
                <w:lang w:val="en-US"/>
              </w:rPr>
              <w:t xml:space="preserve"> for all year groups</w:t>
            </w:r>
          </w:p>
          <w:p w:rsidR="00BB2884" w:rsidRPr="00CC385E" w:rsidRDefault="00BB2884" w:rsidP="00F311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Participation in School Games festivals and tournaments</w:t>
            </w:r>
          </w:p>
          <w:p w:rsidR="00BB2884" w:rsidRPr="00CC385E" w:rsidRDefault="00BB2884" w:rsidP="00CF60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Inter school tournaments</w:t>
            </w:r>
          </w:p>
          <w:p w:rsidR="000C733B" w:rsidRDefault="00DD1173" w:rsidP="00CF60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>Swimming gala</w:t>
            </w:r>
          </w:p>
          <w:p w:rsidR="000C733B" w:rsidRDefault="000C733B" w:rsidP="00CF60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Eastwards Consortium athletics</w:t>
            </w:r>
          </w:p>
          <w:p w:rsidR="00DD1173" w:rsidRPr="00CC385E" w:rsidRDefault="000C733B" w:rsidP="00CF60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Birmingham Athletics</w:t>
            </w:r>
            <w:r w:rsidR="00DD1173" w:rsidRPr="00CC385E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lastRenderedPageBreak/>
              <w:t xml:space="preserve">PE evidence folder </w:t>
            </w:r>
          </w:p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PE calendar and notice board</w:t>
            </w:r>
          </w:p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Pupil voice</w:t>
            </w:r>
          </w:p>
          <w:p w:rsidR="00DD1173" w:rsidRPr="004130C8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Parent voice</w:t>
            </w:r>
          </w:p>
          <w:p w:rsidR="00BB2884" w:rsidRDefault="00DD1173" w:rsidP="004130C8">
            <w:pPr>
              <w:rPr>
                <w:rFonts w:cstheme="minorHAnsi"/>
                <w:lang w:val="en-US"/>
              </w:rPr>
            </w:pPr>
            <w:r w:rsidRPr="004130C8">
              <w:rPr>
                <w:rFonts w:cstheme="minorHAnsi"/>
                <w:lang w:val="en-US"/>
              </w:rPr>
              <w:t>PE planning</w:t>
            </w:r>
          </w:p>
          <w:p w:rsidR="004130C8" w:rsidRPr="004130C8" w:rsidRDefault="004130C8" w:rsidP="004130C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Pupils are </w:t>
            </w:r>
            <w:proofErr w:type="gramStart"/>
            <w:r>
              <w:rPr>
                <w:rFonts w:cstheme="minorHAnsi"/>
                <w:lang w:val="en-US"/>
              </w:rPr>
              <w:t>enthused</w:t>
            </w:r>
            <w:proofErr w:type="gramEnd"/>
            <w:r>
              <w:rPr>
                <w:rFonts w:cstheme="minorHAnsi"/>
                <w:lang w:val="en-US"/>
              </w:rPr>
              <w:t xml:space="preserve"> to participate in different sports which they have not prior experience of such as tri golf and a large number of pupils participate in </w:t>
            </w:r>
            <w:r>
              <w:rPr>
                <w:rFonts w:cstheme="minorHAnsi"/>
                <w:lang w:val="en-US"/>
              </w:rPr>
              <w:lastRenderedPageBreak/>
              <w:t xml:space="preserve">the School Games due to team successes. </w:t>
            </w:r>
          </w:p>
        </w:tc>
        <w:tc>
          <w:tcPr>
            <w:tcW w:w="3077" w:type="dxa"/>
            <w:gridSpan w:val="2"/>
          </w:tcPr>
          <w:p w:rsidR="00BB2884" w:rsidRPr="00CC385E" w:rsidRDefault="00000AB3" w:rsidP="00CF60F5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lastRenderedPageBreak/>
              <w:t xml:space="preserve">Engage staff throughout the school in participating with competitive sports to increase their experience. </w:t>
            </w:r>
          </w:p>
          <w:p w:rsidR="00000AB3" w:rsidRPr="00CC385E" w:rsidRDefault="00000AB3" w:rsidP="00CF60F5">
            <w:pPr>
              <w:jc w:val="center"/>
              <w:rPr>
                <w:rFonts w:cstheme="minorHAnsi"/>
                <w:lang w:val="en-US"/>
              </w:rPr>
            </w:pPr>
            <w:r w:rsidRPr="00CC385E">
              <w:rPr>
                <w:rFonts w:cstheme="minorHAnsi"/>
                <w:lang w:val="en-US"/>
              </w:rPr>
              <w:t xml:space="preserve">Continue to actively seek opportunities such as links with other schools to further develop the participation of children in competitive sport. </w:t>
            </w:r>
          </w:p>
        </w:tc>
      </w:tr>
      <w:tr w:rsidR="00C902B7" w:rsidRPr="00CC385E" w:rsidTr="00CA2DA7">
        <w:tc>
          <w:tcPr>
            <w:tcW w:w="3256" w:type="dxa"/>
          </w:tcPr>
          <w:p w:rsidR="00C902B7" w:rsidRPr="00C902B7" w:rsidRDefault="00C902B7" w:rsidP="00CB6C37">
            <w:pPr>
              <w:rPr>
                <w:rFonts w:cstheme="minorHAnsi"/>
                <w:b/>
                <w:lang w:val="en-US"/>
              </w:rPr>
            </w:pPr>
            <w:r w:rsidRPr="00C902B7">
              <w:rPr>
                <w:rFonts w:cstheme="minorHAnsi"/>
                <w:b/>
                <w:lang w:val="en-US"/>
              </w:rPr>
              <w:t>Sports Premium Allocation</w:t>
            </w:r>
          </w:p>
        </w:tc>
        <w:tc>
          <w:tcPr>
            <w:tcW w:w="12149" w:type="dxa"/>
            <w:gridSpan w:val="6"/>
          </w:tcPr>
          <w:p w:rsidR="00C902B7" w:rsidRDefault="00C902B7" w:rsidP="00CF60F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Sports Day £893 (4% of Sports Premium)</w:t>
            </w:r>
          </w:p>
          <w:p w:rsidR="00C902B7" w:rsidRPr="00CC385E" w:rsidRDefault="00C902B7" w:rsidP="00CF60F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 equipment £883.75 (4% of Sports Premium)</w:t>
            </w:r>
          </w:p>
        </w:tc>
      </w:tr>
    </w:tbl>
    <w:p w:rsidR="006353C8" w:rsidRPr="00B96B7F" w:rsidRDefault="006353C8" w:rsidP="00DD1173">
      <w:pPr>
        <w:rPr>
          <w:rFonts w:cstheme="minorHAnsi"/>
          <w:lang w:val="en-US"/>
        </w:rPr>
      </w:pPr>
    </w:p>
    <w:sectPr w:rsidR="006353C8" w:rsidRPr="00B96B7F" w:rsidSect="00B96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A7" w:rsidRDefault="00CA2DA7" w:rsidP="00504465">
      <w:pPr>
        <w:spacing w:after="0" w:line="240" w:lineRule="auto"/>
      </w:pPr>
      <w:r>
        <w:separator/>
      </w:r>
    </w:p>
  </w:endnote>
  <w:endnote w:type="continuationSeparator" w:id="0">
    <w:p w:rsidR="00CA2DA7" w:rsidRDefault="00CA2DA7" w:rsidP="0050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7" w:rsidRDefault="00CA2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7" w:rsidRDefault="00CA2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7" w:rsidRDefault="00CA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A7" w:rsidRDefault="00CA2DA7" w:rsidP="00504465">
      <w:pPr>
        <w:spacing w:after="0" w:line="240" w:lineRule="auto"/>
      </w:pPr>
      <w:r>
        <w:separator/>
      </w:r>
    </w:p>
  </w:footnote>
  <w:footnote w:type="continuationSeparator" w:id="0">
    <w:p w:rsidR="00CA2DA7" w:rsidRDefault="00CA2DA7" w:rsidP="0050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7" w:rsidRDefault="00CA2D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7001" o:spid="_x0000_s2050" type="#_x0000_t75" style="position:absolute;margin-left:0;margin-top:0;width:523.15pt;height:523.15pt;z-index:-251657216;mso-position-horizontal:center;mso-position-horizontal-relative:margin;mso-position-vertical:center;mso-position-vertical-relative:margin" o:allowincell="f">
          <v:imagedata r:id="rId1" o:title="THORNT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7" w:rsidRDefault="00CA2D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7002" o:spid="_x0000_s2051" type="#_x0000_t75" style="position:absolute;margin-left:0;margin-top:0;width:523.15pt;height:523.15pt;z-index:-251656192;mso-position-horizontal:center;mso-position-horizontal-relative:margin;mso-position-vertical:center;mso-position-vertical-relative:margin" o:allowincell="f">
          <v:imagedata r:id="rId1" o:title="THORNT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A7" w:rsidRDefault="00CA2D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7000" o:spid="_x0000_s2049" type="#_x0000_t75" style="position:absolute;margin-left:0;margin-top:0;width:523.15pt;height:523.15pt;z-index:-251658240;mso-position-horizontal:center;mso-position-horizontal-relative:margin;mso-position-vertical:center;mso-position-vertical-relative:margin" o:allowincell="f">
          <v:imagedata r:id="rId1" o:title="THORNT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36A"/>
    <w:multiLevelType w:val="hybridMultilevel"/>
    <w:tmpl w:val="53C05A30"/>
    <w:lvl w:ilvl="0" w:tplc="346806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B3140"/>
    <w:multiLevelType w:val="hybridMultilevel"/>
    <w:tmpl w:val="61D4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B82"/>
    <w:multiLevelType w:val="hybridMultilevel"/>
    <w:tmpl w:val="88F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C7B"/>
    <w:multiLevelType w:val="hybridMultilevel"/>
    <w:tmpl w:val="14F2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C0970"/>
    <w:multiLevelType w:val="hybridMultilevel"/>
    <w:tmpl w:val="B3C4EA18"/>
    <w:lvl w:ilvl="0" w:tplc="34680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F"/>
    <w:rsid w:val="00000AB3"/>
    <w:rsid w:val="000C733B"/>
    <w:rsid w:val="002170FA"/>
    <w:rsid w:val="0028306E"/>
    <w:rsid w:val="003102DA"/>
    <w:rsid w:val="004130C8"/>
    <w:rsid w:val="00504465"/>
    <w:rsid w:val="005B1E82"/>
    <w:rsid w:val="005D2CA3"/>
    <w:rsid w:val="00600FE3"/>
    <w:rsid w:val="006353C8"/>
    <w:rsid w:val="007E5D8E"/>
    <w:rsid w:val="00832726"/>
    <w:rsid w:val="009027F2"/>
    <w:rsid w:val="00970311"/>
    <w:rsid w:val="00986A45"/>
    <w:rsid w:val="00B9670D"/>
    <w:rsid w:val="00B96AEF"/>
    <w:rsid w:val="00B96B7F"/>
    <w:rsid w:val="00BB2884"/>
    <w:rsid w:val="00C24061"/>
    <w:rsid w:val="00C902B7"/>
    <w:rsid w:val="00CA2DA7"/>
    <w:rsid w:val="00CB6C37"/>
    <w:rsid w:val="00CC385E"/>
    <w:rsid w:val="00CF60F5"/>
    <w:rsid w:val="00D21E92"/>
    <w:rsid w:val="00DB517D"/>
    <w:rsid w:val="00DC73EF"/>
    <w:rsid w:val="00DD1173"/>
    <w:rsid w:val="00DD64BA"/>
    <w:rsid w:val="00ED6DEF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2F20C8"/>
  <w15:chartTrackingRefBased/>
  <w15:docId w15:val="{8976FE28-4FF9-4AB2-8C1E-5B3F1D1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B7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D6D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65"/>
  </w:style>
  <w:style w:type="paragraph" w:styleId="Footer">
    <w:name w:val="footer"/>
    <w:basedOn w:val="Normal"/>
    <w:link w:val="FooterChar"/>
    <w:uiPriority w:val="99"/>
    <w:unhideWhenUsed/>
    <w:rsid w:val="0050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B57F-9692-46D2-B189-4F410D4D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Easthope (thornton.bham.sch.uk)</dc:creator>
  <cp:keywords/>
  <dc:description/>
  <cp:lastModifiedBy>Mrs M Easthope (thornton.bham.sch.uk)</cp:lastModifiedBy>
  <cp:revision>5</cp:revision>
  <cp:lastPrinted>2019-05-07T09:12:00Z</cp:lastPrinted>
  <dcterms:created xsi:type="dcterms:W3CDTF">2019-06-21T13:19:00Z</dcterms:created>
  <dcterms:modified xsi:type="dcterms:W3CDTF">2019-06-25T10:08:00Z</dcterms:modified>
</cp:coreProperties>
</file>